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EB7" w:rsidRPr="002C1BB8" w:rsidRDefault="00C56EB7" w:rsidP="00C56EB7">
      <w:pPr>
        <w:jc w:val="right"/>
        <w:rPr>
          <w:rFonts w:ascii="Arial" w:hAnsi="Arial" w:cs="Arial"/>
          <w:lang w:val="es-MX"/>
        </w:rPr>
      </w:pPr>
    </w:p>
    <w:p w:rsidR="00C56EB7" w:rsidRPr="002C1BB8" w:rsidRDefault="00C56EB7" w:rsidP="00C56EB7">
      <w:pPr>
        <w:pStyle w:val="Textoindependiente"/>
        <w:tabs>
          <w:tab w:val="left" w:pos="1245"/>
          <w:tab w:val="right" w:pos="7308"/>
        </w:tabs>
        <w:jc w:val="right"/>
        <w:rPr>
          <w:rFonts w:ascii="Arial" w:hAnsi="Arial" w:cs="Arial"/>
          <w:i/>
        </w:rPr>
      </w:pPr>
      <w:r w:rsidRPr="002C1BB8">
        <w:rPr>
          <w:rFonts w:ascii="Arial" w:hAnsi="Arial" w:cs="Arial"/>
        </w:rPr>
        <w:t>__________</w:t>
      </w:r>
      <w:r w:rsidRPr="002C1BB8">
        <w:rPr>
          <w:rFonts w:ascii="Arial" w:hAnsi="Arial" w:cs="Arial"/>
          <w:i/>
        </w:rPr>
        <w:t>(1.1)</w:t>
      </w:r>
      <w:r w:rsidRPr="002C1BB8">
        <w:rPr>
          <w:rFonts w:ascii="Arial" w:hAnsi="Arial" w:cs="Arial"/>
        </w:rPr>
        <w:t xml:space="preserve"> No.</w:t>
      </w:r>
      <w:r w:rsidRPr="002C1BB8">
        <w:rPr>
          <w:rFonts w:ascii="Arial" w:hAnsi="Arial" w:cs="Arial"/>
          <w:i/>
        </w:rPr>
        <w:t>__________(1.2)</w:t>
      </w:r>
    </w:p>
    <w:p w:rsidR="00C56EB7" w:rsidRPr="002C1BB8" w:rsidRDefault="00C56EB7" w:rsidP="00C56EB7">
      <w:pPr>
        <w:jc w:val="right"/>
        <w:rPr>
          <w:rFonts w:ascii="Arial" w:hAnsi="Arial" w:cs="Arial"/>
        </w:rPr>
      </w:pPr>
      <w:r w:rsidRPr="002C1BB8">
        <w:rPr>
          <w:rFonts w:ascii="Arial" w:hAnsi="Arial" w:cs="Arial"/>
        </w:rPr>
        <w:t>_________(</w:t>
      </w:r>
      <w:r w:rsidRPr="002C1BB8">
        <w:rPr>
          <w:rFonts w:ascii="Arial" w:hAnsi="Arial" w:cs="Arial"/>
          <w:i/>
        </w:rPr>
        <w:t xml:space="preserve">2.1) </w:t>
      </w:r>
      <w:r w:rsidRPr="002C1BB8">
        <w:rPr>
          <w:rFonts w:ascii="Arial" w:hAnsi="Arial" w:cs="Arial"/>
        </w:rPr>
        <w:t>, _________</w:t>
      </w:r>
      <w:r w:rsidRPr="002C1BB8">
        <w:rPr>
          <w:rFonts w:ascii="Arial" w:hAnsi="Arial" w:cs="Arial"/>
          <w:i/>
        </w:rPr>
        <w:t xml:space="preserve">(2.2) </w:t>
      </w:r>
      <w:r w:rsidRPr="002C1BB8">
        <w:rPr>
          <w:rFonts w:ascii="Arial" w:hAnsi="Arial" w:cs="Arial"/>
        </w:rPr>
        <w:t>a ____ de _____ 20__</w:t>
      </w:r>
      <w:r w:rsidRPr="002C1BB8">
        <w:rPr>
          <w:rFonts w:ascii="Arial" w:hAnsi="Arial" w:cs="Arial"/>
          <w:i/>
        </w:rPr>
        <w:t>(2.3)</w:t>
      </w:r>
    </w:p>
    <w:p w:rsidR="00703967" w:rsidRPr="002C1BB8" w:rsidRDefault="00703967" w:rsidP="00A77A9C">
      <w:pPr>
        <w:jc w:val="both"/>
        <w:rPr>
          <w:rFonts w:ascii="Arial" w:hAnsi="Arial" w:cs="Arial"/>
          <w:b/>
          <w:lang w:val="es-MX"/>
        </w:rPr>
      </w:pPr>
    </w:p>
    <w:p w:rsidR="00A77A9C" w:rsidRPr="002C1BB8" w:rsidRDefault="00A77A9C" w:rsidP="00A77A9C">
      <w:pPr>
        <w:jc w:val="center"/>
        <w:rPr>
          <w:rFonts w:ascii="Arial" w:hAnsi="Arial" w:cs="Arial"/>
          <w:b/>
        </w:rPr>
      </w:pPr>
      <w:r w:rsidRPr="002C1BB8">
        <w:rPr>
          <w:rFonts w:ascii="Arial" w:hAnsi="Arial" w:cs="Arial"/>
          <w:b/>
        </w:rPr>
        <w:t>Nota informativa para participantes de países miembros de la Organización para la Cooperación y el Desarrollo Económico</w:t>
      </w:r>
      <w:r w:rsidR="00AE295E" w:rsidRPr="002C1BB8">
        <w:rPr>
          <w:rFonts w:ascii="Arial" w:hAnsi="Arial" w:cs="Arial"/>
          <w:b/>
        </w:rPr>
        <w:t>s</w:t>
      </w:r>
      <w:r w:rsidRPr="002C1BB8">
        <w:rPr>
          <w:rFonts w:ascii="Arial" w:hAnsi="Arial" w:cs="Arial"/>
          <w:b/>
        </w:rPr>
        <w:t>. (OCDE)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El compromiso de México en el combate a la corrupción ha trascendido nuestras fronteras y el ámbito de acción del Gobierno Federal. En el plano internacional y como miembro de la Organización para la Cooperación y el </w:t>
      </w:r>
      <w:r w:rsidR="00AE295E" w:rsidRPr="002C1BB8">
        <w:rPr>
          <w:rFonts w:ascii="Arial" w:hAnsi="Arial" w:cs="Arial"/>
        </w:rPr>
        <w:t>D</w:t>
      </w:r>
      <w:r w:rsidRPr="002C1BB8">
        <w:rPr>
          <w:rFonts w:ascii="Arial" w:hAnsi="Arial" w:cs="Arial"/>
        </w:rPr>
        <w:t>esarrollo Económico</w:t>
      </w:r>
      <w:r w:rsidR="00AE295E" w:rsidRPr="002C1BB8">
        <w:rPr>
          <w:rFonts w:ascii="Arial" w:hAnsi="Arial" w:cs="Arial"/>
        </w:rPr>
        <w:t>s</w:t>
      </w:r>
      <w:r w:rsidRPr="002C1BB8">
        <w:rPr>
          <w:rFonts w:ascii="Arial" w:hAnsi="Arial" w:cs="Arial"/>
        </w:rPr>
        <w:t xml:space="preserve"> (OCDE) y firmante de la </w:t>
      </w:r>
      <w:r w:rsidRPr="002C1BB8">
        <w:rPr>
          <w:rFonts w:ascii="Arial" w:hAnsi="Arial" w:cs="Arial"/>
          <w:b/>
        </w:rPr>
        <w:t>Convención para combatir el cohecho de servidores públicos extranjeros en transacciones comerciales internacionales</w:t>
      </w:r>
      <w:r w:rsidRPr="002C1BB8">
        <w:rPr>
          <w:rFonts w:ascii="Arial" w:hAnsi="Arial" w:cs="Arial"/>
        </w:rPr>
        <w:t>, hemos adquirido responsabilidades que involucran a los sectores público y privado.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compiten por las contrataciones gubernamentales.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La OCDE ha establecido mecanismos muy claros para que los países firmantes de la Convención cumplan con las recomendaciones emitidas por ésta en </w:t>
      </w:r>
      <w:r w:rsidR="00AE295E" w:rsidRPr="002C1BB8">
        <w:rPr>
          <w:rFonts w:ascii="Arial" w:hAnsi="Arial" w:cs="Arial"/>
        </w:rPr>
        <w:t xml:space="preserve">el </w:t>
      </w:r>
      <w:r w:rsidRPr="002C1BB8">
        <w:rPr>
          <w:rFonts w:ascii="Arial" w:hAnsi="Arial" w:cs="Arial"/>
        </w:rPr>
        <w:t>caso de México, iniciará en Noviembre de 2003 una segunda fase de evaluación  - la primera fase ya fue aprobada-  en donde un grupo de expertos verificará, entre otros:</w:t>
      </w:r>
    </w:p>
    <w:p w:rsidR="00A77A9C" w:rsidRPr="002C1BB8" w:rsidRDefault="00A77A9C" w:rsidP="00A77A9C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La compatibilidad de nuestro marco jurídico con las disposiciones de la Convención.</w:t>
      </w:r>
    </w:p>
    <w:p w:rsidR="00A77A9C" w:rsidRPr="002C1BB8" w:rsidRDefault="00A77A9C" w:rsidP="00A77A9C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El conocimiento que tengan los sectores público y privado de las recomendaciones de la Convención.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El resultado de esta evaluación impactará el grado de inversión otorgado a Méxi</w:t>
      </w:r>
      <w:r w:rsidR="00AE295E" w:rsidRPr="002C1BB8">
        <w:rPr>
          <w:rFonts w:ascii="Arial" w:hAnsi="Arial" w:cs="Arial"/>
        </w:rPr>
        <w:t>co por las agencias calificadora</w:t>
      </w:r>
      <w:r w:rsidRPr="002C1BB8">
        <w:rPr>
          <w:rFonts w:ascii="Arial" w:hAnsi="Arial" w:cs="Arial"/>
        </w:rPr>
        <w:t>s y la atracción de inversión extranjera.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  <w:bookmarkStart w:id="0" w:name="_GoBack"/>
      <w:bookmarkEnd w:id="0"/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Las responsabilidades del sector público se centran en:</w:t>
      </w:r>
    </w:p>
    <w:p w:rsidR="00A77A9C" w:rsidRPr="002C1BB8" w:rsidRDefault="00A77A9C" w:rsidP="00A77A9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Profundizar las reformas legales que inició en 1999.</w:t>
      </w:r>
    </w:p>
    <w:p w:rsidR="00A77A9C" w:rsidRPr="002C1BB8" w:rsidRDefault="00A77A9C" w:rsidP="00A77A9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Difundir las recomendaciones de la Convención y las obligaciones de cada uno de los actores comprometidos en su cumplimiento.</w:t>
      </w:r>
    </w:p>
    <w:p w:rsidR="00A77A9C" w:rsidRPr="002C1BB8" w:rsidRDefault="00A77A9C" w:rsidP="00A77A9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Presentar casos de cohecho en proceso y concluidos (incluyendo aquellos relacionados con el lavado de dinero y extradición) 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Las responsabilidades del sector privado contemplan:</w:t>
      </w:r>
    </w:p>
    <w:p w:rsidR="00A77A9C" w:rsidRPr="002C1BB8" w:rsidRDefault="00A77A9C" w:rsidP="00A77A9C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  <w:b/>
        </w:rPr>
        <w:t>Las empresas</w:t>
      </w:r>
      <w:r w:rsidRPr="002C1BB8">
        <w:rPr>
          <w:rFonts w:ascii="Arial" w:hAnsi="Arial" w:cs="Arial"/>
        </w:rPr>
        <w:t>: adoptar esquemas preventivos como el establecimiento de códigos de conducta, de mejores prácticas corporativas (controles internos, monitoreo, información financiera  pública, auditorías externas) y de mecanismos que prevengan el ofrecimiento y otorgamiento de recursos o bienes a servidores públicos, para obtener beneficios particulares o para las empresas.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  <w:b/>
        </w:rPr>
        <w:t>Los contadores públicos</w:t>
      </w:r>
      <w:r w:rsidRPr="002C1BB8">
        <w:rPr>
          <w:rFonts w:ascii="Arial" w:hAnsi="Arial" w:cs="Arial"/>
        </w:rPr>
        <w:t>: realizar auditorías; no encubrir actividades ilícitas (doble contabilidad y transacciones indebidas, como asientos contables falsificados, informes financieros fraudulentos, transferencias sin autorización, acceso a los activos sin consentimiento de la gerencia); utilizar registros contables precisos; informar a los directivos sobre conductas ilegales.</w:t>
      </w:r>
    </w:p>
    <w:p w:rsidR="00A77A9C" w:rsidRPr="002C1BB8" w:rsidRDefault="00A77A9C" w:rsidP="00A77A9C">
      <w:pPr>
        <w:ind w:left="993"/>
        <w:jc w:val="both"/>
        <w:rPr>
          <w:rFonts w:ascii="Arial" w:hAnsi="Arial" w:cs="Arial"/>
        </w:rPr>
      </w:pPr>
    </w:p>
    <w:p w:rsidR="00A77A9C" w:rsidRPr="002C1BB8" w:rsidRDefault="00A77A9C" w:rsidP="00A77A9C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  <w:b/>
        </w:rPr>
        <w:t>Los abogados</w:t>
      </w:r>
      <w:r w:rsidRPr="002C1BB8">
        <w:rPr>
          <w:rFonts w:ascii="Arial" w:hAnsi="Arial" w:cs="Arial"/>
        </w:rPr>
        <w:t>: promover el cumplimiento y revisión de la Convención (imprimir el carácter vinculatorio entre ésta y la legislación nacional); impulsar los esquemas preventivos que deben adoptar las empresas.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lastRenderedPageBreak/>
        <w:t xml:space="preserve">Las sanciones impuestas a las personas físicas o morales (privados) y a los servidores públicos que incumplan las recomendaciones de la Convención, implican entre otras, privación de la libertad, extradición, decomiso y/o embargo de dinero o bienes. 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Así mismo, es importante conocer que el pago realizado a los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El culpable puede ser perseguido en cualquier país firmante de la Convención, independientemente del lugar donde el acto de cohecho haya sido cometido.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En la medida </w:t>
      </w:r>
      <w:r w:rsidR="00AE295E" w:rsidRPr="002C1BB8">
        <w:rPr>
          <w:rFonts w:ascii="Arial" w:hAnsi="Arial" w:cs="Arial"/>
        </w:rPr>
        <w:t>qu</w:t>
      </w:r>
      <w:r w:rsidRPr="002C1BB8">
        <w:rPr>
          <w:rFonts w:ascii="Arial" w:hAnsi="Arial" w:cs="Arial"/>
        </w:rPr>
        <w:t>e estos lineamientos sean conocidos por las empresas y los servidores públicos del país, estaremos contribuyendo a construir estructuras preventivas que impidan el cumplimiento de las recomendaciones de la Convención y por lo tanto de la comisión de actos de corrupción.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Por otra parte, es de señalar que el Código Penal Federal sanciona el cohecho en los siguientes términos: 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“Artículo 222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Cometen el delito de cohecho: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El servidor público que por sí, o por interpósita persona solicite o reciba indebidamente para sí o para otro, dinero o cualquiera otra  dádiva, o acepte una promesa, para hacer o dejar de hacer algo justo o injusto relacionado con sus funciones, y </w:t>
      </w:r>
    </w:p>
    <w:p w:rsidR="00A77A9C" w:rsidRPr="002C1BB8" w:rsidRDefault="00A77A9C" w:rsidP="00A77A9C">
      <w:pPr>
        <w:ind w:left="851" w:hanging="295"/>
        <w:jc w:val="both"/>
        <w:rPr>
          <w:rFonts w:ascii="Arial" w:hAnsi="Arial" w:cs="Arial"/>
        </w:rPr>
      </w:pPr>
    </w:p>
    <w:p w:rsidR="00A77A9C" w:rsidRPr="002C1BB8" w:rsidRDefault="00A77A9C" w:rsidP="00A77A9C">
      <w:pPr>
        <w:ind w:left="851" w:hanging="295"/>
        <w:jc w:val="both"/>
        <w:rPr>
          <w:rFonts w:ascii="Arial" w:hAnsi="Arial" w:cs="Arial"/>
        </w:rPr>
      </w:pPr>
    </w:p>
    <w:p w:rsidR="00A77A9C" w:rsidRPr="002C1BB8" w:rsidRDefault="00A77A9C" w:rsidP="00A77A9C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El que de manera espontánea dé u ofrezca dinero o cualquier otra dádiva a alguna de las personas que se mencionan en la fracción anterior, para que cualquier servidor público haga u omita un acto justo o injusto relacionado con sus funciones.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Al que comete el delito de cohecho se le impondrán las siguientes sanciones: 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Cuando la cantidad o el valor de la dádiva o promesa no exceda del equivalente de quinientas veces al salario mínimo diario vigente en el Distrito Federal en el momento de cometerse el delito, o no sea valuable,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Cuando la cantidad o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 en el momento de cometerse el delito y destitución e inhabilitación de dos años a catorce años para desempeñar otro empleo, cargo o comisión públicos. 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En ningún caso se devolverá a los responsables del delito del cohecho, el dinero o dádivas entregadas, las mismas se aplicarán en beneficio del Estado.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Capitulo XI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Cohecho a servidores públicos extranjeros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Artículo 222bis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A un servidor público extranjero para que se gestione o se abstenga de gestionar la tramitación o resolución de asuntos relacionados con las funciones inherentes a su empleo, cargo o comisión; </w:t>
      </w:r>
    </w:p>
    <w:p w:rsidR="00A77A9C" w:rsidRPr="002C1BB8" w:rsidRDefault="00A77A9C" w:rsidP="00A77A9C">
      <w:pPr>
        <w:ind w:left="851" w:hanging="284"/>
        <w:jc w:val="both"/>
        <w:rPr>
          <w:rFonts w:ascii="Arial" w:hAnsi="Arial" w:cs="Arial"/>
        </w:rPr>
      </w:pPr>
    </w:p>
    <w:p w:rsidR="00A77A9C" w:rsidRPr="002C1BB8" w:rsidRDefault="00A77A9C" w:rsidP="00A77A9C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A un servidor público extranjero para llevar a cabo la tramitación o resolución de cualquier asunto que se encuentre fuera del ámbito de las funciones inherentes a su empleo, cargo o comisión, o </w:t>
      </w:r>
    </w:p>
    <w:p w:rsidR="00A77A9C" w:rsidRPr="002C1BB8" w:rsidRDefault="00A77A9C" w:rsidP="00A77A9C">
      <w:pPr>
        <w:ind w:left="851" w:hanging="284"/>
        <w:jc w:val="both"/>
        <w:rPr>
          <w:rFonts w:ascii="Arial" w:hAnsi="Arial" w:cs="Arial"/>
        </w:rPr>
      </w:pPr>
    </w:p>
    <w:p w:rsidR="00A77A9C" w:rsidRPr="002C1BB8" w:rsidRDefault="00A77A9C" w:rsidP="00A77A9C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>A cualquier persona para que acuda ante un servidor público extranjero y le requiera o le proponga llevar a cabo la tramitación o resolución de cualquier asunto relacionado con las funciones inherentes al empleo, cargo o comisión de este último.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Para los efectos de este artículo se entiende por servidor público extranjero, toda persona que ostente u ocupe un cargo público considerado así por la ley respectiva, en los órganos  legislativo, ejecutivo o judicial de un Estado extranjero, incluyendo las agencias o empresas autónomas, independientes o de participación estatal, en cualquier orden o nivel de gobierno, así como cualquier organismo u organización pública internacionales. 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Cuando alguno de los delitos comprendidos en este artículo se cometa en los supuestos a que se refiere el artículo 11 de este Código, el juez impondrá a la persona moral hasta quinientos días </w:t>
      </w:r>
      <w:r w:rsidR="00AE295E" w:rsidRPr="002C1BB8">
        <w:rPr>
          <w:rFonts w:ascii="Arial" w:hAnsi="Arial" w:cs="Arial"/>
        </w:rPr>
        <w:t xml:space="preserve">de </w:t>
      </w:r>
      <w:r w:rsidRPr="002C1BB8">
        <w:rPr>
          <w:rFonts w:ascii="Arial" w:hAnsi="Arial" w:cs="Arial"/>
        </w:rPr>
        <w:t>multa y podrá decretar su suspensión o disolución tomando en consideración el grado de conocimiento de los órganos de administración respecto del cohecho en la transacción internacional y el daño causado o el beneficio obtenido por la persona moral”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center"/>
        <w:rPr>
          <w:rFonts w:ascii="Arial" w:hAnsi="Arial" w:cs="Arial"/>
          <w:b/>
        </w:rPr>
      </w:pPr>
      <w:r w:rsidRPr="002C1BB8">
        <w:rPr>
          <w:rFonts w:ascii="Arial" w:hAnsi="Arial" w:cs="Arial"/>
          <w:b/>
        </w:rPr>
        <w:t>INCONFORMIDADES</w:t>
      </w:r>
    </w:p>
    <w:p w:rsidR="00A77A9C" w:rsidRPr="002C1BB8" w:rsidRDefault="00A77A9C" w:rsidP="00A77A9C">
      <w:pPr>
        <w:jc w:val="both"/>
        <w:rPr>
          <w:rFonts w:ascii="Arial" w:hAnsi="Arial" w:cs="Arial"/>
        </w:rPr>
      </w:pPr>
    </w:p>
    <w:p w:rsidR="00A77A9C" w:rsidRPr="002C1BB8" w:rsidRDefault="00A77A9C" w:rsidP="00A77A9C">
      <w:pPr>
        <w:jc w:val="both"/>
        <w:rPr>
          <w:rFonts w:ascii="Arial" w:hAnsi="Arial" w:cs="Arial"/>
        </w:rPr>
      </w:pPr>
      <w:r w:rsidRPr="002C1BB8">
        <w:rPr>
          <w:rFonts w:ascii="Arial" w:hAnsi="Arial" w:cs="Arial"/>
        </w:rPr>
        <w:t xml:space="preserve">Las personas que participen en esta licitación, podrán inconformarse ante </w:t>
      </w:r>
      <w:r w:rsidR="00AE295E" w:rsidRPr="002C1BB8">
        <w:rPr>
          <w:rFonts w:ascii="Arial" w:hAnsi="Arial" w:cs="Arial"/>
        </w:rPr>
        <w:t>e</w:t>
      </w:r>
      <w:r w:rsidRPr="002C1BB8">
        <w:rPr>
          <w:rFonts w:ascii="Arial" w:hAnsi="Arial" w:cs="Arial"/>
        </w:rPr>
        <w:t>l Órgano Interno de Control en esta Secretaría, cita en el Centro Nacional SCT, Av. Universidad y Xola, Cuerpo “A”, 1er. Piso, Ala Poniente, Col. Narvarte, Delegación Benito Juárez, C.P. 03020, en México, D. F. o a través de los medios remotos de comunicación electrónica, de conformidad al Acuerdo publicado en el Diario Oficial de la Federación el 9 de agosto del 2000; de acuerdo a lo indicado en el segundo párrafo del artículo 83 de la “LEY”, dentro de los diez días hábiles siguientes a aquél en que ocurra el acto que se considere contravenga las disposiciones o el inconforme tenga conocimiento del mismo.</w:t>
      </w:r>
    </w:p>
    <w:p w:rsidR="00A77A9C" w:rsidRPr="002C1BB8" w:rsidRDefault="00A77A9C" w:rsidP="00A77A9C">
      <w:pPr>
        <w:rPr>
          <w:rFonts w:ascii="Arial" w:hAnsi="Arial" w:cs="Arial"/>
        </w:rPr>
      </w:pPr>
    </w:p>
    <w:sectPr w:rsidR="00A77A9C" w:rsidRPr="002C1BB8" w:rsidSect="00C56EB7">
      <w:headerReference w:type="default" r:id="rId8"/>
      <w:footerReference w:type="default" r:id="rId9"/>
      <w:pgSz w:w="12240" w:h="15840"/>
      <w:pgMar w:top="124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FA9" w:rsidRDefault="00D74FA9" w:rsidP="006552F7">
      <w:r>
        <w:separator/>
      </w:r>
    </w:p>
  </w:endnote>
  <w:endnote w:type="continuationSeparator" w:id="1">
    <w:p w:rsidR="00D74FA9" w:rsidRDefault="00D74FA9" w:rsidP="0065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3702"/>
      <w:docPartObj>
        <w:docPartGallery w:val="Page Numbers (Bottom of Page)"/>
        <w:docPartUnique/>
      </w:docPartObj>
    </w:sdtPr>
    <w:sdtEndPr>
      <w:rPr>
        <w:rFonts w:ascii="Arial" w:hAnsi="Arial" w:cs="Arial"/>
        <w:b/>
        <w:color w:val="808080" w:themeColor="background1" w:themeShade="80"/>
      </w:rPr>
    </w:sdtEndPr>
    <w:sdtContent>
      <w:p w:rsidR="00176129" w:rsidRDefault="00E719D8">
        <w:pPr>
          <w:pStyle w:val="Piedepgina"/>
          <w:jc w:val="right"/>
        </w:pPr>
        <w:r>
          <w:fldChar w:fldCharType="begin"/>
        </w:r>
        <w:r w:rsidR="000A6C99">
          <w:instrText xml:space="preserve"> PAGE   \* MERGEFORMAT </w:instrText>
        </w:r>
        <w:r>
          <w:fldChar w:fldCharType="separate"/>
        </w:r>
        <w:r w:rsidR="002C1BB8">
          <w:rPr>
            <w:noProof/>
          </w:rPr>
          <w:t>1</w:t>
        </w:r>
        <w:r>
          <w:rPr>
            <w:noProof/>
          </w:rPr>
          <w:fldChar w:fldCharType="end"/>
        </w:r>
        <w:r w:rsidR="00D254ED">
          <w:t xml:space="preserve"> de 3</w:t>
        </w:r>
      </w:p>
      <w:p w:rsidR="005B2C14" w:rsidRDefault="005B2C14" w:rsidP="005B3672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  <w:szCs w:val="12"/>
          </w:rPr>
        </w:pPr>
      </w:p>
      <w:p w:rsidR="005B3672" w:rsidRPr="005B3672" w:rsidRDefault="00E719D8" w:rsidP="005B3672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FA9" w:rsidRDefault="00D74FA9" w:rsidP="006552F7">
      <w:r>
        <w:separator/>
      </w:r>
    </w:p>
  </w:footnote>
  <w:footnote w:type="continuationSeparator" w:id="1">
    <w:p w:rsidR="00D74FA9" w:rsidRDefault="00D74FA9" w:rsidP="0065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95"/>
      <w:gridCol w:w="5494"/>
    </w:tblGrid>
    <w:tr w:rsidR="00C56EB7" w:rsidTr="00A5569A">
      <w:trPr>
        <w:trHeight w:val="202"/>
        <w:jc w:val="center"/>
      </w:trPr>
      <w:tc>
        <w:tcPr>
          <w:tcW w:w="4356" w:type="dxa"/>
          <w:vMerge w:val="restart"/>
          <w:hideMark/>
        </w:tcPr>
        <w:p w:rsidR="00C56EB7" w:rsidRDefault="00C56EB7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34018" cy="1093206"/>
                <wp:effectExtent l="19050" t="0" r="0" b="0"/>
                <wp:docPr id="8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b="1826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34018" cy="109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</w:tcPr>
        <w:p w:rsidR="00C56EB7" w:rsidRDefault="00C56EB7" w:rsidP="00333521">
          <w:pPr>
            <w:pStyle w:val="Encabezado"/>
          </w:pPr>
        </w:p>
      </w:tc>
    </w:tr>
    <w:tr w:rsidR="00C56EB7" w:rsidTr="00A5569A">
      <w:trPr>
        <w:jc w:val="center"/>
      </w:trPr>
      <w:tc>
        <w:tcPr>
          <w:tcW w:w="0" w:type="auto"/>
          <w:vMerge/>
          <w:vAlign w:val="center"/>
          <w:hideMark/>
        </w:tcPr>
        <w:p w:rsidR="00C56EB7" w:rsidRDefault="00C56EB7" w:rsidP="00333521"/>
      </w:tc>
      <w:tc>
        <w:tcPr>
          <w:tcW w:w="5533" w:type="dxa"/>
        </w:tcPr>
        <w:p w:rsidR="00C56EB7" w:rsidRDefault="00C56EB7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C56EB7" w:rsidTr="00A5569A">
      <w:trPr>
        <w:jc w:val="center"/>
      </w:trPr>
      <w:tc>
        <w:tcPr>
          <w:tcW w:w="0" w:type="auto"/>
          <w:vMerge/>
          <w:vAlign w:val="center"/>
          <w:hideMark/>
        </w:tcPr>
        <w:p w:rsidR="00C56EB7" w:rsidRDefault="00C56EB7" w:rsidP="00333521"/>
      </w:tc>
      <w:tc>
        <w:tcPr>
          <w:tcW w:w="5533" w:type="dxa"/>
          <w:hideMark/>
        </w:tcPr>
        <w:p w:rsidR="00C56EB7" w:rsidRDefault="00E719D8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9DAAA309BD61432FB1D8000A2087991E"/>
              </w:placeholder>
              <w:showingPlcHdr/>
              <w:docPartList>
                <w:docPartGallery w:val="Quick Parts"/>
              </w:docPartList>
            </w:sdtPr>
            <w:sdtContent>
              <w:r w:rsidR="00C56EB7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A93172E116E24780860B223635525AED"/>
            </w:placeholder>
            <w:showingPlcHdr/>
            <w:docPartList>
              <w:docPartGallery w:val="Quick Parts"/>
            </w:docPartList>
          </w:sdtPr>
          <w:sdtContent>
            <w:p w:rsidR="00C56EB7" w:rsidRDefault="00C56EB7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C56EB7" w:rsidRDefault="00E719D8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CFA98DEF2E2D414782F345D818056952"/>
              </w:placeholder>
              <w:showingPlcHdr/>
              <w:docPartList>
                <w:docPartGallery w:val="Quick Parts"/>
              </w:docPartList>
            </w:sdtPr>
            <w:sdtContent>
              <w:r w:rsidR="00C56EB7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2C1BB8" w:rsidRDefault="00A5569A" w:rsidP="00A5569A">
    <w:pPr>
      <w:pStyle w:val="Encabezado"/>
      <w:jc w:val="right"/>
      <w:rPr>
        <w:rFonts w:ascii="Arial" w:hAnsi="Arial" w:cs="Arial"/>
        <w:b/>
        <w:sz w:val="24"/>
        <w:szCs w:val="24"/>
        <w:lang w:val="es-ES"/>
      </w:rPr>
    </w:pPr>
    <w:r w:rsidRPr="002C1BB8">
      <w:rPr>
        <w:rFonts w:ascii="Arial" w:hAnsi="Arial" w:cs="Arial"/>
        <w:b/>
        <w:sz w:val="24"/>
        <w:szCs w:val="24"/>
      </w:rPr>
      <w:t>FORMATO 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552F7"/>
    <w:rsid w:val="00001B38"/>
    <w:rsid w:val="00022ADE"/>
    <w:rsid w:val="00032855"/>
    <w:rsid w:val="00032BA2"/>
    <w:rsid w:val="00034EF5"/>
    <w:rsid w:val="00044037"/>
    <w:rsid w:val="000642E7"/>
    <w:rsid w:val="00096B8B"/>
    <w:rsid w:val="000A6C99"/>
    <w:rsid w:val="000D1F86"/>
    <w:rsid w:val="001735C6"/>
    <w:rsid w:val="00176129"/>
    <w:rsid w:val="002132AF"/>
    <w:rsid w:val="00220C02"/>
    <w:rsid w:val="002348B3"/>
    <w:rsid w:val="00261B77"/>
    <w:rsid w:val="002731C5"/>
    <w:rsid w:val="002A2D03"/>
    <w:rsid w:val="002C1BB8"/>
    <w:rsid w:val="00323140"/>
    <w:rsid w:val="00357BFE"/>
    <w:rsid w:val="003618A5"/>
    <w:rsid w:val="0039066D"/>
    <w:rsid w:val="003A2A5A"/>
    <w:rsid w:val="00402136"/>
    <w:rsid w:val="004C2AE1"/>
    <w:rsid w:val="005060B7"/>
    <w:rsid w:val="00526077"/>
    <w:rsid w:val="00544F50"/>
    <w:rsid w:val="0055381A"/>
    <w:rsid w:val="00553B33"/>
    <w:rsid w:val="005675E4"/>
    <w:rsid w:val="005B2C14"/>
    <w:rsid w:val="005B336C"/>
    <w:rsid w:val="005B3672"/>
    <w:rsid w:val="005B5A95"/>
    <w:rsid w:val="005D7184"/>
    <w:rsid w:val="00644639"/>
    <w:rsid w:val="00653FA3"/>
    <w:rsid w:val="006552F7"/>
    <w:rsid w:val="006D25E2"/>
    <w:rsid w:val="006E191F"/>
    <w:rsid w:val="00703967"/>
    <w:rsid w:val="0076024B"/>
    <w:rsid w:val="00761C6A"/>
    <w:rsid w:val="007729D8"/>
    <w:rsid w:val="007A365B"/>
    <w:rsid w:val="0083228D"/>
    <w:rsid w:val="008437CE"/>
    <w:rsid w:val="00855342"/>
    <w:rsid w:val="008903E2"/>
    <w:rsid w:val="008A37F8"/>
    <w:rsid w:val="009D4BD9"/>
    <w:rsid w:val="009D707D"/>
    <w:rsid w:val="00A21B3A"/>
    <w:rsid w:val="00A24769"/>
    <w:rsid w:val="00A5569A"/>
    <w:rsid w:val="00A77A9C"/>
    <w:rsid w:val="00A93BCC"/>
    <w:rsid w:val="00AB439F"/>
    <w:rsid w:val="00AE295E"/>
    <w:rsid w:val="00AF2873"/>
    <w:rsid w:val="00AF3278"/>
    <w:rsid w:val="00B0467B"/>
    <w:rsid w:val="00B95CF7"/>
    <w:rsid w:val="00BB0644"/>
    <w:rsid w:val="00BD0F88"/>
    <w:rsid w:val="00BD3597"/>
    <w:rsid w:val="00C03A26"/>
    <w:rsid w:val="00C03B93"/>
    <w:rsid w:val="00C56EB7"/>
    <w:rsid w:val="00CC51F6"/>
    <w:rsid w:val="00CE1F50"/>
    <w:rsid w:val="00D254ED"/>
    <w:rsid w:val="00D5005C"/>
    <w:rsid w:val="00D72C87"/>
    <w:rsid w:val="00D74FA9"/>
    <w:rsid w:val="00D87625"/>
    <w:rsid w:val="00DA6125"/>
    <w:rsid w:val="00E356B4"/>
    <w:rsid w:val="00E426B7"/>
    <w:rsid w:val="00E45608"/>
    <w:rsid w:val="00E624FF"/>
    <w:rsid w:val="00E719D8"/>
    <w:rsid w:val="00ED3991"/>
    <w:rsid w:val="00EF6DB6"/>
    <w:rsid w:val="00F012D5"/>
    <w:rsid w:val="00F32B14"/>
    <w:rsid w:val="00F51FB8"/>
    <w:rsid w:val="00FD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C56EB7"/>
    <w:pPr>
      <w:spacing w:after="0" w:line="240" w:lineRule="auto"/>
    </w:pPr>
    <w:rPr>
      <w:rFonts w:eastAsiaTheme="minorEastAsia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C56EB7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C56EB7"/>
    <w:pPr>
      <w:spacing w:after="0" w:line="240" w:lineRule="auto"/>
    </w:pPr>
    <w:rPr>
      <w:rFonts w:eastAsiaTheme="minorEastAsia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ial11">
    <w:name w:val="Arial 11"/>
    <w:basedOn w:val="Fuentedeprrafopredeter"/>
    <w:uiPriority w:val="1"/>
    <w:rsid w:val="00C56EB7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DAAA309BD61432FB1D8000A20879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AFC83-B1F8-4619-B280-AEF6B7D6923F}"/>
      </w:docPartPr>
      <w:docPartBody>
        <w:p w:rsidR="00676CD1" w:rsidRDefault="008A290C" w:rsidP="008A290C">
          <w:pPr>
            <w:pStyle w:val="9DAAA309BD61432FB1D8000A2087991E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A93172E116E24780860B223635525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EC019-3ECC-431E-852A-30B0FE4A36EC}"/>
      </w:docPartPr>
      <w:docPartBody>
        <w:p w:rsidR="00676CD1" w:rsidRDefault="008A290C" w:rsidP="008A290C">
          <w:pPr>
            <w:pStyle w:val="A93172E116E24780860B223635525AED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CFA98DEF2E2D414782F345D818056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9653C-1C8E-4DBA-8213-DF8480DC1218}"/>
      </w:docPartPr>
      <w:docPartBody>
        <w:p w:rsidR="00676CD1" w:rsidRDefault="008A290C" w:rsidP="008A290C">
          <w:pPr>
            <w:pStyle w:val="CFA98DEF2E2D414782F345D81805695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8A290C"/>
    <w:rsid w:val="002928D2"/>
    <w:rsid w:val="003F7DB5"/>
    <w:rsid w:val="00676CD1"/>
    <w:rsid w:val="00740C29"/>
    <w:rsid w:val="007B12D9"/>
    <w:rsid w:val="008A290C"/>
    <w:rsid w:val="00BE11D5"/>
    <w:rsid w:val="00FC3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8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8A290C"/>
    <w:rPr>
      <w:rFonts w:ascii="Arial" w:hAnsi="Arial"/>
      <w:sz w:val="22"/>
    </w:rPr>
  </w:style>
  <w:style w:type="paragraph" w:customStyle="1" w:styleId="9DAAA309BD61432FB1D8000A2087991E">
    <w:name w:val="9DAAA309BD61432FB1D8000A2087991E"/>
    <w:rsid w:val="008A290C"/>
  </w:style>
  <w:style w:type="paragraph" w:customStyle="1" w:styleId="A93172E116E24780860B223635525AED">
    <w:name w:val="A93172E116E24780860B223635525AED"/>
    <w:rsid w:val="008A290C"/>
  </w:style>
  <w:style w:type="paragraph" w:customStyle="1" w:styleId="CFA98DEF2E2D414782F345D818056952">
    <w:name w:val="CFA98DEF2E2D414782F345D818056952"/>
    <w:rsid w:val="008A290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EDCF6-A586-4F27-BCC7-02ADEC44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1342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SCT1</cp:lastModifiedBy>
  <cp:revision>5</cp:revision>
  <dcterms:created xsi:type="dcterms:W3CDTF">2014-05-01T22:13:00Z</dcterms:created>
  <dcterms:modified xsi:type="dcterms:W3CDTF">2015-05-04T04:46:00Z</dcterms:modified>
</cp:coreProperties>
</file>